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05" w:rsidRDefault="00F07FCF" w:rsidP="00557A8D">
      <w:pPr>
        <w:spacing w:after="0" w:line="240" w:lineRule="auto"/>
        <w:jc w:val="center"/>
        <w:rPr>
          <w:rFonts w:cs="Times New Roman"/>
          <w:b/>
          <w:sz w:val="28"/>
          <w:szCs w:val="28"/>
        </w:rPr>
      </w:pPr>
      <w:r w:rsidRPr="00F07FCF">
        <w:rPr>
          <w:rFonts w:cs="Times New Roman"/>
          <w:b/>
          <w:sz w:val="28"/>
          <w:szCs w:val="28"/>
        </w:rPr>
        <w:t>LUẬT GIÁO DỤC (</w:t>
      </w:r>
      <w:r w:rsidRPr="00F07FCF">
        <w:rPr>
          <w:rFonts w:cs="Times New Roman"/>
          <w:b/>
          <w:color w:val="222222"/>
          <w:sz w:val="28"/>
          <w:szCs w:val="28"/>
          <w:shd w:val="clear" w:color="auto" w:fill="FFFFFF"/>
        </w:rPr>
        <w:t>Luật s</w:t>
      </w:r>
      <w:r w:rsidRPr="00F07FCF">
        <w:rPr>
          <w:rFonts w:cs="Times New Roman"/>
          <w:b/>
          <w:color w:val="222222"/>
          <w:sz w:val="28"/>
          <w:szCs w:val="28"/>
          <w:shd w:val="clear" w:color="auto" w:fill="FFFFFF"/>
          <w:lang w:val="vi-VN"/>
        </w:rPr>
        <w:t>ố </w:t>
      </w:r>
      <w:r w:rsidRPr="00F07FCF">
        <w:rPr>
          <w:rFonts w:cs="Times New Roman"/>
          <w:b/>
          <w:color w:val="222222"/>
          <w:sz w:val="28"/>
          <w:szCs w:val="28"/>
          <w:shd w:val="clear" w:color="auto" w:fill="FFFFFF"/>
        </w:rPr>
        <w:t>43/2019/QH14</w:t>
      </w:r>
      <w:r w:rsidRPr="00F07FCF">
        <w:rPr>
          <w:rFonts w:cs="Times New Roman"/>
          <w:b/>
          <w:sz w:val="28"/>
          <w:szCs w:val="28"/>
        </w:rPr>
        <w:t>)</w:t>
      </w:r>
    </w:p>
    <w:p w:rsidR="00557A8D" w:rsidRPr="00F07FCF" w:rsidRDefault="00557A8D" w:rsidP="00557A8D">
      <w:pPr>
        <w:spacing w:after="0" w:line="240" w:lineRule="auto"/>
        <w:jc w:val="center"/>
        <w:rPr>
          <w:rFonts w:cs="Times New Roman"/>
          <w:b/>
          <w:sz w:val="28"/>
          <w:szCs w:val="28"/>
        </w:rPr>
      </w:pPr>
      <w:r>
        <w:rPr>
          <w:rFonts w:cs="Times New Roman"/>
          <w:b/>
          <w:sz w:val="28"/>
          <w:szCs w:val="28"/>
        </w:rPr>
        <w:t>-----------------------</w:t>
      </w:r>
    </w:p>
    <w:p w:rsidR="00557A8D" w:rsidRDefault="00557A8D" w:rsidP="00557A8D">
      <w:pPr>
        <w:spacing w:after="0" w:line="240" w:lineRule="auto"/>
        <w:jc w:val="both"/>
        <w:rPr>
          <w:rFonts w:eastAsia="Times New Roman" w:cs="Times New Roman"/>
          <w:b/>
          <w:bCs/>
          <w:sz w:val="28"/>
          <w:szCs w:val="28"/>
        </w:rPr>
      </w:pPr>
    </w:p>
    <w:p w:rsidR="00557A8D" w:rsidRDefault="00557A8D" w:rsidP="00557A8D">
      <w:pPr>
        <w:spacing w:after="0" w:line="240" w:lineRule="auto"/>
        <w:jc w:val="both"/>
        <w:rPr>
          <w:rFonts w:eastAsia="Times New Roman" w:cs="Times New Roman"/>
          <w:b/>
          <w:bCs/>
          <w:sz w:val="28"/>
          <w:szCs w:val="28"/>
        </w:rPr>
      </w:pPr>
    </w:p>
    <w:p w:rsidR="00F07FCF" w:rsidRPr="00F07FCF"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b/>
          <w:bCs/>
          <w:sz w:val="28"/>
          <w:szCs w:val="28"/>
        </w:rPr>
        <w:t>Điều 9. Hướng nghiệp và phân luồng trong giáo dục</w:t>
      </w:r>
    </w:p>
    <w:p w:rsidR="00F07FCF" w:rsidRPr="00F07FCF"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1. Hướng nghiệp trong giáo dục là hệ thống các biện pháp tiến hành trong và ngoài cơ sở giáo dục để giúp học sinh có kiến thức về nghề nghiệp, khả năng lựa chọn nghề nghiệp trên cơ sở kết hợp nguyện vọng, sở trường của cá nhân với nhu cầu sử dụng lao động của xã hội.</w:t>
      </w:r>
    </w:p>
    <w:p w:rsidR="00F07FCF" w:rsidRPr="00F07FCF"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2. Phân luồng trong giáo dục là biện pháp tổ chức hoạt động giáo dục trên cơ sở thực hiện hướng nghiệp trong giáo dục, tạo điều kiện để học sinh tốt nghiệp trung học cơ sở, trung học phổ thông tiếp tục học ở cấp học, trình độ cao hơn hoặc theo học giáo dục nghề nghiệp hoặc tham gia lao động phù hợp với năng lực, điều kiện cụ thể của cá nhân và nhu cầu xã hội, góp phần điều tiết cơ cấu ngành nghề của lực lượng lao động phù hợp với yêu cầu phát triển của đất nước.</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3. Chính phủ quy định chi tiết hướng nghiệp và phân luồng trong giáo dục theo từng giai đoạn phù hợp với nhu cầu phát triển kinh tế - xã hội.</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b/>
          <w:bCs/>
          <w:sz w:val="28"/>
          <w:szCs w:val="28"/>
        </w:rPr>
        <w:t>Điều 61. Trường phổ thông dân tộc nội trú, trường phổ thông dân tộc bán trú, trường dự bị đại học</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1. Nhà nước thành lập trường phổ thông dân tộc nội trú, trường phổ thông dân tộc bán trú, trường dự bị đại học cho người học là người dân tộc thiểu số, người học thuộc gia đình định cư lâu dài tại vùng có điều kiện kinh tế - xã hội đặc biệt khó khăn.</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2. Trường phổ thông dân tộc nội trú, trường phổ thông dân tộc bán trú, trường dự bị đại học được ưu tiên bố trí giáo viên, cơ sở vật chất, thiết bị và ngân sách.</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3. Bộ trưởng Bộ Giáo dục và Đào tạo quy định điều kiện học sinh được học trường phổ thông dân tộc nội trú, trường phổ thông dân tộc bán trú, trường dự bị đại học.</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b/>
          <w:bCs/>
          <w:sz w:val="28"/>
          <w:szCs w:val="28"/>
        </w:rPr>
        <w:t>Điều 62. Trường chuyên, trường năng khiếu</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1. Trường chuyên được thành lập ở cấp trung học phổ thông dành cho học sinh đạt kết quả xuất sắc trong học tập nhằm phát triển năng khiếu về một số môn học trên cơ sở bảo đảm giáo dục phổ thông toàn diện, tạo nguồn đào tạo nhân tài, đáp ứng y</w:t>
      </w:r>
      <w:r w:rsidR="00557A8D">
        <w:rPr>
          <w:rFonts w:eastAsia="Times New Roman" w:cs="Times New Roman"/>
          <w:sz w:val="28"/>
          <w:szCs w:val="28"/>
        </w:rPr>
        <w:t xml:space="preserve">êu cầu phát triển của đất nước. </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 xml:space="preserve">Trường năng khiếu nghệ thuật, thể dục, thể thao được thành lập nhằm phát triển tài năng của </w:t>
      </w:r>
      <w:r w:rsidR="00557A8D">
        <w:rPr>
          <w:rFonts w:eastAsia="Times New Roman" w:cs="Times New Roman"/>
          <w:sz w:val="28"/>
          <w:szCs w:val="28"/>
        </w:rPr>
        <w:t>học sinh trong các lĩnh vực này.</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2. Nhà nước ưu tiên bố trí giáo viên, cơ sở vật chất, thiết bị và ngân sách cho trường chuyên, trường năng khiếu do Nhà nước thành lập; có chính sách ưu đãi đối với trường năng khiếu do tổ chức, cá nhân thành lập.</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lastRenderedPageBreak/>
        <w:t>3. Bộ trưởng Bộ Giáo dục và Đào tạo, Bộ trưởng Bộ Lao động - Thương binh và Xã hội, trong phạm vi nhiệm vụ, quyền hạn của mình, quy định chương trình giáo dục nâng cao, quy chế tổ chức và hoạt động của trường chuyên, trường năng khiếu.</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b/>
          <w:bCs/>
          <w:sz w:val="28"/>
          <w:szCs w:val="28"/>
        </w:rPr>
        <w:t>Điều 64. Trường giáo dưỡng</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1. Trường giáo dưỡng có nhiệm vụ giáo dục người chưa thành niên vi phạm pháp luật để đối tượng này rèn luyện, phát triển lành mạnh, trở thành người lương thiện, có khả năng tái hòa nhập vào đời sống xã hội.</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2. Bộ trưởng Bộ Công an có trách nhiệm chủ trì, phối hợp với Bộ trưởng Bộ Giáo dục và Đào tạo, Bộ trưởng Bộ Lao động - Thương binh và Xã hội quy định chương trình giáo dục cho trường giáo dưỡng.</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b/>
          <w:bCs/>
          <w:sz w:val="28"/>
          <w:szCs w:val="28"/>
        </w:rPr>
        <w:t>Điều 85. Học bổng, trợ cấp xã hội, miễn, giảm học phí, hỗ trợ tiền đóng học phí và chi phí sinh hoạt</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1. Nhà nước có chính sách cấp học bổng khuyến khích học tập cho học sinh đạt kết quả học tập xuất sắc ở trường chuyên, trường năng khiếu quy định tại Điều 62 của Luật này và người học có kết quả học tập, rèn luyện từ loại khá trở lên ở cơ sở giáo dục nghề nghiệp, cơ sở giáo dục đại học; cấp học bổng chính sách cho sinh viên hệ cử tuyển, học sinh trường dự bị đại học, trường phổ thông dân tộc nội trú, người học trong cơ sở giáo dục nghề nghiệp dành cho thương binh, người khuyết tật.</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2. Nhà nước có chính sách trợ cấp và miễn, giảm học phí cho người học là đối tượng được hưởng chính sách xã hội, người dân tộc thiểu số ở vùng có điều kiện kinh tế - xã hội đặc biệt khó khăn, trẻ mồ côi, trẻ em không nơi nương tựa, người khuyết tật, người thuộc hộ nghèo và hộ cận nghèo.</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3. Nhà nước khuyến khích tổ chức, cá nhân cấp học bổng hoặc trợ cấp cho người học theo quy định của pháp luật.</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4. Học sinh, sinh viên sư phạm được hỗ trợ tiền đóng học phí và chi phí sinh hoạt trong toàn khóa học. Người được hỗ trợ tiền đóng học phí và chi phí sinh hoạt sau 02 năm kể từ khi tốt nghiệp nếu không công tác trong ngành giáo dục hoặc công tác không đủ thời gian quy định thì phải bồi hoàn khoản kinh phí mà Nhà nước đã hỗ trợ. Thời hạn hoàn trả</w:t>
      </w:r>
      <w:r w:rsidR="00557A8D">
        <w:rPr>
          <w:rFonts w:eastAsia="Times New Roman" w:cs="Times New Roman"/>
          <w:sz w:val="28"/>
          <w:szCs w:val="28"/>
        </w:rPr>
        <w:t xml:space="preserve"> tối đa bằng thời gian đào tạo.</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Học sinh, sinh viên sư phạm được hưởng các chính sách học bổng khuyến khích học tập, trợ cấp xã hội, miễn, giảm học phí quy định tại khoản 1 và khoản 2 Điều này.</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5. Chính phủ quy định chi tiết Điều này.</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b/>
          <w:bCs/>
          <w:sz w:val="28"/>
          <w:szCs w:val="28"/>
        </w:rPr>
        <w:t>Điều 86. Miễn, giảm giá vé dịch vụ công cộng cho học sinh, sinh viên</w:t>
      </w:r>
      <w:r w:rsidRPr="00F07FCF">
        <w:rPr>
          <w:rFonts w:eastAsia="Times New Roman" w:cs="Times New Roman"/>
          <w:sz w:val="28"/>
          <w:szCs w:val="28"/>
        </w:rPr>
        <w:br/>
        <w:t>Học sinh, sinh viên được hưởng chế độ miễn, giảm giá vé khi sử dụng các dịch vụ công cộng về giao thông, giải trí, tham quan viện bảo tàng, di tích lịch sử, công trình văn hóa theo quy định của Chính phủ.</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b/>
          <w:bCs/>
          <w:sz w:val="28"/>
          <w:szCs w:val="28"/>
        </w:rPr>
        <w:t>Điều 87. Chế độ cử tuyển</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lastRenderedPageBreak/>
        <w:t>1. Nhà nước thực hiện tuyển sinh vào trung cấp, cao đẳng, đại học theo chế độ cử tuyển đối với học sinh là người dân tộc thiểu số rất ít người; học sinh là người dân tộc thiểu số ở vùng có điều kiện kinh tế - xã hội đặc biệt khó khăn chưa có hoặc có rất ít cán bộ, công chức, viên chức là người dân tộc thiểu số; có chính sách tạo nguồn cử tuyển, tạo điều kiện thuận lợi để các đối tượng này vào học trường phổ thông dân tộc nội trú và tăng thời gian học dự bị đại học.</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2. Ủy ban nhân dân cấp tỉnh căn cứ vào nhu cầu của địa phương đề xuất, phân bổ chỉ tiêu cử tuyển; cử người đi học theo tiêu chuẩn, chỉ tiêu được duyệt; xét tuyển và bố trí việc làm cho người học sau khi tốt nghiệp.</w:t>
      </w:r>
      <w:r w:rsidRPr="00F07FCF">
        <w:rPr>
          <w:rFonts w:eastAsia="Times New Roman" w:cs="Times New Roman"/>
          <w:sz w:val="28"/>
          <w:szCs w:val="28"/>
        </w:rPr>
        <w:br/>
        <w:t>Cơ sở giáo dục có trách nhiệm hỗ trợ cho người học theo chế độ cử tuyển để bảo đảm chất lượng đầu ra.</w:t>
      </w:r>
    </w:p>
    <w:p w:rsid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3. Người học theo chế độ cử tuyển có trách nhiệm trở về làm việc tại địa phương nơi cử đi học; được xét tuyển và bố trí việc làm.</w:t>
      </w:r>
    </w:p>
    <w:p w:rsidR="00F07FCF" w:rsidRPr="00557A8D" w:rsidRDefault="00F07FCF" w:rsidP="00557A8D">
      <w:pPr>
        <w:spacing w:before="120" w:after="120" w:line="240" w:lineRule="auto"/>
        <w:ind w:firstLine="720"/>
        <w:jc w:val="both"/>
        <w:rPr>
          <w:rFonts w:eastAsia="Times New Roman" w:cs="Times New Roman"/>
          <w:sz w:val="28"/>
          <w:szCs w:val="28"/>
        </w:rPr>
      </w:pPr>
      <w:r w:rsidRPr="00F07FCF">
        <w:rPr>
          <w:rFonts w:eastAsia="Times New Roman" w:cs="Times New Roman"/>
          <w:sz w:val="28"/>
          <w:szCs w:val="28"/>
        </w:rPr>
        <w:t>4. Chính phủ quy định chi tiết tiêu chuẩn và đối tượng được hưởng chế độ cử tuyển; việc tổ chức thực hiện chế độ cử tuyển và việc tuyển dụng người học theo chế độ cử tuyển sau</w:t>
      </w:r>
      <w:bookmarkStart w:id="0" w:name="_GoBack"/>
      <w:bookmarkEnd w:id="0"/>
      <w:r w:rsidRPr="00F07FCF">
        <w:rPr>
          <w:rFonts w:eastAsia="Times New Roman" w:cs="Times New Roman"/>
          <w:sz w:val="28"/>
          <w:szCs w:val="28"/>
        </w:rPr>
        <w:t xml:space="preserve"> khi tốt nghiệp.</w:t>
      </w:r>
    </w:p>
    <w:p w:rsidR="00F07FCF" w:rsidRDefault="00F07FCF" w:rsidP="00F07FCF">
      <w:pPr>
        <w:spacing w:after="0" w:line="240" w:lineRule="auto"/>
        <w:rPr>
          <w:rFonts w:ascii="Arial" w:eastAsia="Times New Roman" w:hAnsi="Arial" w:cs="Arial"/>
          <w:color w:val="333333"/>
          <w:szCs w:val="24"/>
        </w:rPr>
      </w:pPr>
    </w:p>
    <w:p w:rsidR="00F07FCF" w:rsidRDefault="00F07FCF" w:rsidP="00F07FCF">
      <w:pPr>
        <w:spacing w:after="0" w:line="240" w:lineRule="auto"/>
        <w:rPr>
          <w:rFonts w:ascii="Arial" w:eastAsia="Times New Roman" w:hAnsi="Arial" w:cs="Arial"/>
          <w:color w:val="333333"/>
          <w:szCs w:val="24"/>
        </w:rPr>
      </w:pPr>
    </w:p>
    <w:p w:rsidR="00F07FCF" w:rsidRPr="00F07FCF" w:rsidRDefault="00F07FCF" w:rsidP="00F07FCF">
      <w:pPr>
        <w:spacing w:after="0" w:line="240" w:lineRule="auto"/>
        <w:rPr>
          <w:rFonts w:ascii="Arial" w:eastAsia="Times New Roman" w:hAnsi="Arial" w:cs="Arial"/>
          <w:color w:val="333333"/>
          <w:szCs w:val="24"/>
        </w:rPr>
      </w:pPr>
    </w:p>
    <w:p w:rsidR="00F07FCF" w:rsidRDefault="00F07FCF" w:rsidP="00F07FCF">
      <w:pPr>
        <w:jc w:val="center"/>
      </w:pPr>
    </w:p>
    <w:sectPr w:rsidR="00F07FCF" w:rsidSect="00E46EC4">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459"/>
    <w:multiLevelType w:val="multilevel"/>
    <w:tmpl w:val="46DE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A03D3"/>
    <w:multiLevelType w:val="multilevel"/>
    <w:tmpl w:val="BE18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F"/>
    <w:rsid w:val="00231F05"/>
    <w:rsid w:val="00557A8D"/>
    <w:rsid w:val="00E46EC4"/>
    <w:rsid w:val="00F0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1486">
      <w:bodyDiv w:val="1"/>
      <w:marLeft w:val="0"/>
      <w:marRight w:val="0"/>
      <w:marTop w:val="0"/>
      <w:marBottom w:val="0"/>
      <w:divBdr>
        <w:top w:val="none" w:sz="0" w:space="0" w:color="auto"/>
        <w:left w:val="none" w:sz="0" w:space="0" w:color="auto"/>
        <w:bottom w:val="none" w:sz="0" w:space="0" w:color="auto"/>
        <w:right w:val="none" w:sz="0" w:space="0" w:color="auto"/>
      </w:divBdr>
      <w:divsChild>
        <w:div w:id="603925182">
          <w:marLeft w:val="0"/>
          <w:marRight w:val="0"/>
          <w:marTop w:val="120"/>
          <w:marBottom w:val="0"/>
          <w:divBdr>
            <w:top w:val="none" w:sz="0" w:space="0" w:color="auto"/>
            <w:left w:val="none" w:sz="0" w:space="0" w:color="auto"/>
            <w:bottom w:val="none" w:sz="0" w:space="0" w:color="auto"/>
            <w:right w:val="none" w:sz="0" w:space="0" w:color="auto"/>
          </w:divBdr>
        </w:div>
        <w:div w:id="1523124918">
          <w:marLeft w:val="0"/>
          <w:marRight w:val="0"/>
          <w:marTop w:val="0"/>
          <w:marBottom w:val="0"/>
          <w:divBdr>
            <w:top w:val="none" w:sz="0" w:space="0" w:color="auto"/>
            <w:left w:val="none" w:sz="0" w:space="0" w:color="auto"/>
            <w:bottom w:val="none" w:sz="0" w:space="0" w:color="auto"/>
            <w:right w:val="none" w:sz="0" w:space="0" w:color="auto"/>
          </w:divBdr>
        </w:div>
        <w:div w:id="1836336750">
          <w:marLeft w:val="0"/>
          <w:marRight w:val="0"/>
          <w:marTop w:val="0"/>
          <w:marBottom w:val="0"/>
          <w:divBdr>
            <w:top w:val="none" w:sz="0" w:space="0" w:color="auto"/>
            <w:left w:val="none" w:sz="0" w:space="0" w:color="auto"/>
            <w:bottom w:val="none" w:sz="0" w:space="0" w:color="auto"/>
            <w:right w:val="none" w:sz="0" w:space="0" w:color="auto"/>
          </w:divBdr>
        </w:div>
        <w:div w:id="2070960587">
          <w:marLeft w:val="0"/>
          <w:marRight w:val="0"/>
          <w:marTop w:val="0"/>
          <w:marBottom w:val="0"/>
          <w:divBdr>
            <w:top w:val="none" w:sz="0" w:space="0" w:color="auto"/>
            <w:left w:val="none" w:sz="0" w:space="0" w:color="auto"/>
            <w:bottom w:val="none" w:sz="0" w:space="0" w:color="auto"/>
            <w:right w:val="none" w:sz="0" w:space="0" w:color="auto"/>
          </w:divBdr>
        </w:div>
        <w:div w:id="1591892087">
          <w:marLeft w:val="0"/>
          <w:marRight w:val="0"/>
          <w:marTop w:val="120"/>
          <w:marBottom w:val="0"/>
          <w:divBdr>
            <w:top w:val="none" w:sz="0" w:space="0" w:color="auto"/>
            <w:left w:val="none" w:sz="0" w:space="0" w:color="auto"/>
            <w:bottom w:val="none" w:sz="0" w:space="0" w:color="auto"/>
            <w:right w:val="none" w:sz="0" w:space="0" w:color="auto"/>
          </w:divBdr>
        </w:div>
        <w:div w:id="2069958584">
          <w:marLeft w:val="0"/>
          <w:marRight w:val="0"/>
          <w:marTop w:val="0"/>
          <w:marBottom w:val="0"/>
          <w:divBdr>
            <w:top w:val="none" w:sz="0" w:space="0" w:color="auto"/>
            <w:left w:val="none" w:sz="0" w:space="0" w:color="auto"/>
            <w:bottom w:val="none" w:sz="0" w:space="0" w:color="auto"/>
            <w:right w:val="none" w:sz="0" w:space="0" w:color="auto"/>
          </w:divBdr>
        </w:div>
        <w:div w:id="71196298">
          <w:marLeft w:val="0"/>
          <w:marRight w:val="0"/>
          <w:marTop w:val="0"/>
          <w:marBottom w:val="0"/>
          <w:divBdr>
            <w:top w:val="none" w:sz="0" w:space="0" w:color="auto"/>
            <w:left w:val="none" w:sz="0" w:space="0" w:color="auto"/>
            <w:bottom w:val="none" w:sz="0" w:space="0" w:color="auto"/>
            <w:right w:val="none" w:sz="0" w:space="0" w:color="auto"/>
          </w:divBdr>
        </w:div>
        <w:div w:id="1907187002">
          <w:marLeft w:val="0"/>
          <w:marRight w:val="0"/>
          <w:marTop w:val="0"/>
          <w:marBottom w:val="0"/>
          <w:divBdr>
            <w:top w:val="none" w:sz="0" w:space="0" w:color="auto"/>
            <w:left w:val="none" w:sz="0" w:space="0" w:color="auto"/>
            <w:bottom w:val="none" w:sz="0" w:space="0" w:color="auto"/>
            <w:right w:val="none" w:sz="0" w:space="0" w:color="auto"/>
          </w:divBdr>
        </w:div>
        <w:div w:id="627013541">
          <w:marLeft w:val="0"/>
          <w:marRight w:val="0"/>
          <w:marTop w:val="120"/>
          <w:marBottom w:val="0"/>
          <w:divBdr>
            <w:top w:val="none" w:sz="0" w:space="0" w:color="auto"/>
            <w:left w:val="none" w:sz="0" w:space="0" w:color="auto"/>
            <w:bottom w:val="none" w:sz="0" w:space="0" w:color="auto"/>
            <w:right w:val="none" w:sz="0" w:space="0" w:color="auto"/>
          </w:divBdr>
        </w:div>
        <w:div w:id="496120660">
          <w:marLeft w:val="0"/>
          <w:marRight w:val="0"/>
          <w:marTop w:val="0"/>
          <w:marBottom w:val="0"/>
          <w:divBdr>
            <w:top w:val="none" w:sz="0" w:space="0" w:color="auto"/>
            <w:left w:val="none" w:sz="0" w:space="0" w:color="auto"/>
            <w:bottom w:val="none" w:sz="0" w:space="0" w:color="auto"/>
            <w:right w:val="none" w:sz="0" w:space="0" w:color="auto"/>
          </w:divBdr>
        </w:div>
        <w:div w:id="770855968">
          <w:marLeft w:val="0"/>
          <w:marRight w:val="0"/>
          <w:marTop w:val="0"/>
          <w:marBottom w:val="0"/>
          <w:divBdr>
            <w:top w:val="none" w:sz="0" w:space="0" w:color="auto"/>
            <w:left w:val="none" w:sz="0" w:space="0" w:color="auto"/>
            <w:bottom w:val="none" w:sz="0" w:space="0" w:color="auto"/>
            <w:right w:val="none" w:sz="0" w:space="0" w:color="auto"/>
          </w:divBdr>
        </w:div>
        <w:div w:id="1919751843">
          <w:marLeft w:val="0"/>
          <w:marRight w:val="0"/>
          <w:marTop w:val="120"/>
          <w:marBottom w:val="0"/>
          <w:divBdr>
            <w:top w:val="none" w:sz="0" w:space="0" w:color="auto"/>
            <w:left w:val="none" w:sz="0" w:space="0" w:color="auto"/>
            <w:bottom w:val="none" w:sz="0" w:space="0" w:color="auto"/>
            <w:right w:val="none" w:sz="0" w:space="0" w:color="auto"/>
          </w:divBdr>
        </w:div>
        <w:div w:id="210776208">
          <w:marLeft w:val="0"/>
          <w:marRight w:val="0"/>
          <w:marTop w:val="0"/>
          <w:marBottom w:val="0"/>
          <w:divBdr>
            <w:top w:val="none" w:sz="0" w:space="0" w:color="auto"/>
            <w:left w:val="none" w:sz="0" w:space="0" w:color="auto"/>
            <w:bottom w:val="none" w:sz="0" w:space="0" w:color="auto"/>
            <w:right w:val="none" w:sz="0" w:space="0" w:color="auto"/>
          </w:divBdr>
        </w:div>
        <w:div w:id="452022846">
          <w:marLeft w:val="0"/>
          <w:marRight w:val="0"/>
          <w:marTop w:val="0"/>
          <w:marBottom w:val="0"/>
          <w:divBdr>
            <w:top w:val="none" w:sz="0" w:space="0" w:color="auto"/>
            <w:left w:val="none" w:sz="0" w:space="0" w:color="auto"/>
            <w:bottom w:val="none" w:sz="0" w:space="0" w:color="auto"/>
            <w:right w:val="none" w:sz="0" w:space="0" w:color="auto"/>
          </w:divBdr>
        </w:div>
      </w:divsChild>
    </w:div>
    <w:div w:id="1143036515">
      <w:bodyDiv w:val="1"/>
      <w:marLeft w:val="0"/>
      <w:marRight w:val="0"/>
      <w:marTop w:val="0"/>
      <w:marBottom w:val="0"/>
      <w:divBdr>
        <w:top w:val="none" w:sz="0" w:space="0" w:color="auto"/>
        <w:left w:val="none" w:sz="0" w:space="0" w:color="auto"/>
        <w:bottom w:val="none" w:sz="0" w:space="0" w:color="auto"/>
        <w:right w:val="none" w:sz="0" w:space="0" w:color="auto"/>
      </w:divBdr>
      <w:divsChild>
        <w:div w:id="1795949830">
          <w:marLeft w:val="0"/>
          <w:marRight w:val="0"/>
          <w:marTop w:val="120"/>
          <w:marBottom w:val="0"/>
          <w:divBdr>
            <w:top w:val="none" w:sz="0" w:space="0" w:color="auto"/>
            <w:left w:val="none" w:sz="0" w:space="0" w:color="auto"/>
            <w:bottom w:val="none" w:sz="0" w:space="0" w:color="auto"/>
            <w:right w:val="none" w:sz="0" w:space="0" w:color="auto"/>
          </w:divBdr>
          <w:divsChild>
            <w:div w:id="1462190431">
              <w:marLeft w:val="75"/>
              <w:marRight w:val="75"/>
              <w:marTop w:val="75"/>
              <w:marBottom w:val="75"/>
              <w:divBdr>
                <w:top w:val="none" w:sz="0" w:space="0" w:color="auto"/>
                <w:left w:val="none" w:sz="0" w:space="0" w:color="auto"/>
                <w:bottom w:val="none" w:sz="0" w:space="0" w:color="auto"/>
                <w:right w:val="none" w:sz="0" w:space="0" w:color="auto"/>
              </w:divBdr>
              <w:divsChild>
                <w:div w:id="1915124887">
                  <w:marLeft w:val="0"/>
                  <w:marRight w:val="0"/>
                  <w:marTop w:val="0"/>
                  <w:marBottom w:val="0"/>
                  <w:divBdr>
                    <w:top w:val="dashed" w:sz="6" w:space="12" w:color="FFBB6A"/>
                    <w:left w:val="dashed" w:sz="6" w:space="12" w:color="FFBB6A"/>
                    <w:bottom w:val="dashed" w:sz="6" w:space="12" w:color="FFBB6A"/>
                    <w:right w:val="dashed" w:sz="6" w:space="12" w:color="FFBB6A"/>
                  </w:divBdr>
                  <w:divsChild>
                    <w:div w:id="10546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5236">
          <w:marLeft w:val="0"/>
          <w:marRight w:val="0"/>
          <w:marTop w:val="0"/>
          <w:marBottom w:val="0"/>
          <w:divBdr>
            <w:top w:val="none" w:sz="0" w:space="0" w:color="auto"/>
            <w:left w:val="none" w:sz="0" w:space="0" w:color="auto"/>
            <w:bottom w:val="none" w:sz="0" w:space="0" w:color="auto"/>
            <w:right w:val="none" w:sz="0" w:space="0" w:color="auto"/>
          </w:divBdr>
        </w:div>
        <w:div w:id="727218176">
          <w:marLeft w:val="0"/>
          <w:marRight w:val="0"/>
          <w:marTop w:val="0"/>
          <w:marBottom w:val="0"/>
          <w:divBdr>
            <w:top w:val="none" w:sz="0" w:space="0" w:color="auto"/>
            <w:left w:val="none" w:sz="0" w:space="0" w:color="auto"/>
            <w:bottom w:val="none" w:sz="0" w:space="0" w:color="auto"/>
            <w:right w:val="none" w:sz="0" w:space="0" w:color="auto"/>
          </w:divBdr>
        </w:div>
        <w:div w:id="935751566">
          <w:marLeft w:val="0"/>
          <w:marRight w:val="0"/>
          <w:marTop w:val="0"/>
          <w:marBottom w:val="0"/>
          <w:divBdr>
            <w:top w:val="none" w:sz="0" w:space="0" w:color="auto"/>
            <w:left w:val="none" w:sz="0" w:space="0" w:color="auto"/>
            <w:bottom w:val="none" w:sz="0" w:space="0" w:color="auto"/>
            <w:right w:val="none" w:sz="0" w:space="0" w:color="auto"/>
          </w:divBdr>
        </w:div>
        <w:div w:id="954140051">
          <w:marLeft w:val="0"/>
          <w:marRight w:val="0"/>
          <w:marTop w:val="0"/>
          <w:marBottom w:val="0"/>
          <w:divBdr>
            <w:top w:val="none" w:sz="0" w:space="0" w:color="auto"/>
            <w:left w:val="none" w:sz="0" w:space="0" w:color="auto"/>
            <w:bottom w:val="none" w:sz="0" w:space="0" w:color="auto"/>
            <w:right w:val="none" w:sz="0" w:space="0" w:color="auto"/>
          </w:divBdr>
        </w:div>
        <w:div w:id="1348828568">
          <w:marLeft w:val="0"/>
          <w:marRight w:val="0"/>
          <w:marTop w:val="0"/>
          <w:marBottom w:val="0"/>
          <w:divBdr>
            <w:top w:val="none" w:sz="0" w:space="0" w:color="auto"/>
            <w:left w:val="none" w:sz="0" w:space="0" w:color="auto"/>
            <w:bottom w:val="none" w:sz="0" w:space="0" w:color="auto"/>
            <w:right w:val="none" w:sz="0" w:space="0" w:color="auto"/>
          </w:divBdr>
        </w:div>
        <w:div w:id="1515680544">
          <w:marLeft w:val="0"/>
          <w:marRight w:val="0"/>
          <w:marTop w:val="120"/>
          <w:marBottom w:val="0"/>
          <w:divBdr>
            <w:top w:val="none" w:sz="0" w:space="0" w:color="auto"/>
            <w:left w:val="none" w:sz="0" w:space="0" w:color="auto"/>
            <w:bottom w:val="none" w:sz="0" w:space="0" w:color="auto"/>
            <w:right w:val="none" w:sz="0" w:space="0" w:color="auto"/>
          </w:divBdr>
        </w:div>
        <w:div w:id="970328220">
          <w:marLeft w:val="0"/>
          <w:marRight w:val="0"/>
          <w:marTop w:val="120"/>
          <w:marBottom w:val="0"/>
          <w:divBdr>
            <w:top w:val="none" w:sz="0" w:space="0" w:color="auto"/>
            <w:left w:val="none" w:sz="0" w:space="0" w:color="auto"/>
            <w:bottom w:val="none" w:sz="0" w:space="0" w:color="auto"/>
            <w:right w:val="none" w:sz="0" w:space="0" w:color="auto"/>
          </w:divBdr>
        </w:div>
        <w:div w:id="1330715225">
          <w:marLeft w:val="0"/>
          <w:marRight w:val="0"/>
          <w:marTop w:val="0"/>
          <w:marBottom w:val="0"/>
          <w:divBdr>
            <w:top w:val="none" w:sz="0" w:space="0" w:color="auto"/>
            <w:left w:val="none" w:sz="0" w:space="0" w:color="auto"/>
            <w:bottom w:val="none" w:sz="0" w:space="0" w:color="auto"/>
            <w:right w:val="none" w:sz="0" w:space="0" w:color="auto"/>
          </w:divBdr>
        </w:div>
        <w:div w:id="1505514565">
          <w:marLeft w:val="0"/>
          <w:marRight w:val="0"/>
          <w:marTop w:val="0"/>
          <w:marBottom w:val="0"/>
          <w:divBdr>
            <w:top w:val="none" w:sz="0" w:space="0" w:color="auto"/>
            <w:left w:val="none" w:sz="0" w:space="0" w:color="auto"/>
            <w:bottom w:val="none" w:sz="0" w:space="0" w:color="auto"/>
            <w:right w:val="none" w:sz="0" w:space="0" w:color="auto"/>
          </w:divBdr>
        </w:div>
        <w:div w:id="111098471">
          <w:marLeft w:val="0"/>
          <w:marRight w:val="0"/>
          <w:marTop w:val="0"/>
          <w:marBottom w:val="0"/>
          <w:divBdr>
            <w:top w:val="none" w:sz="0" w:space="0" w:color="auto"/>
            <w:left w:val="none" w:sz="0" w:space="0" w:color="auto"/>
            <w:bottom w:val="none" w:sz="0" w:space="0" w:color="auto"/>
            <w:right w:val="none" w:sz="0" w:space="0" w:color="auto"/>
          </w:divBdr>
        </w:div>
        <w:div w:id="426578670">
          <w:marLeft w:val="0"/>
          <w:marRight w:val="0"/>
          <w:marTop w:val="0"/>
          <w:marBottom w:val="0"/>
          <w:divBdr>
            <w:top w:val="none" w:sz="0" w:space="0" w:color="auto"/>
            <w:left w:val="none" w:sz="0" w:space="0" w:color="auto"/>
            <w:bottom w:val="none" w:sz="0" w:space="0" w:color="auto"/>
            <w:right w:val="none" w:sz="0" w:space="0" w:color="auto"/>
          </w:divBdr>
          <w:divsChild>
            <w:div w:id="2107310351">
              <w:marLeft w:val="75"/>
              <w:marRight w:val="75"/>
              <w:marTop w:val="75"/>
              <w:marBottom w:val="75"/>
              <w:divBdr>
                <w:top w:val="none" w:sz="0" w:space="0" w:color="auto"/>
                <w:left w:val="none" w:sz="0" w:space="0" w:color="auto"/>
                <w:bottom w:val="none" w:sz="0" w:space="0" w:color="auto"/>
                <w:right w:val="none" w:sz="0" w:space="0" w:color="auto"/>
              </w:divBdr>
              <w:divsChild>
                <w:div w:id="1535339991">
                  <w:marLeft w:val="0"/>
                  <w:marRight w:val="0"/>
                  <w:marTop w:val="0"/>
                  <w:marBottom w:val="0"/>
                  <w:divBdr>
                    <w:top w:val="dashed" w:sz="6" w:space="12" w:color="FFBB6A"/>
                    <w:left w:val="dashed" w:sz="6" w:space="12" w:color="FFBB6A"/>
                    <w:bottom w:val="dashed" w:sz="6" w:space="12" w:color="FFBB6A"/>
                    <w:right w:val="dashed" w:sz="6" w:space="12" w:color="FFBB6A"/>
                  </w:divBdr>
                  <w:divsChild>
                    <w:div w:id="15739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89306">
      <w:bodyDiv w:val="1"/>
      <w:marLeft w:val="0"/>
      <w:marRight w:val="0"/>
      <w:marTop w:val="0"/>
      <w:marBottom w:val="0"/>
      <w:divBdr>
        <w:top w:val="none" w:sz="0" w:space="0" w:color="auto"/>
        <w:left w:val="none" w:sz="0" w:space="0" w:color="auto"/>
        <w:bottom w:val="none" w:sz="0" w:space="0" w:color="auto"/>
        <w:right w:val="none" w:sz="0" w:space="0" w:color="auto"/>
      </w:divBdr>
      <w:divsChild>
        <w:div w:id="545917499">
          <w:marLeft w:val="0"/>
          <w:marRight w:val="0"/>
          <w:marTop w:val="120"/>
          <w:marBottom w:val="0"/>
          <w:divBdr>
            <w:top w:val="none" w:sz="0" w:space="0" w:color="auto"/>
            <w:left w:val="none" w:sz="0" w:space="0" w:color="auto"/>
            <w:bottom w:val="none" w:sz="0" w:space="0" w:color="auto"/>
            <w:right w:val="none" w:sz="0" w:space="0" w:color="auto"/>
          </w:divBdr>
        </w:div>
        <w:div w:id="23942236">
          <w:marLeft w:val="0"/>
          <w:marRight w:val="0"/>
          <w:marTop w:val="0"/>
          <w:marBottom w:val="0"/>
          <w:divBdr>
            <w:top w:val="none" w:sz="0" w:space="0" w:color="auto"/>
            <w:left w:val="none" w:sz="0" w:space="0" w:color="auto"/>
            <w:bottom w:val="none" w:sz="0" w:space="0" w:color="auto"/>
            <w:right w:val="none" w:sz="0" w:space="0" w:color="auto"/>
          </w:divBdr>
        </w:div>
        <w:div w:id="1876309341">
          <w:marLeft w:val="0"/>
          <w:marRight w:val="0"/>
          <w:marTop w:val="0"/>
          <w:marBottom w:val="0"/>
          <w:divBdr>
            <w:top w:val="none" w:sz="0" w:space="0" w:color="auto"/>
            <w:left w:val="none" w:sz="0" w:space="0" w:color="auto"/>
            <w:bottom w:val="none" w:sz="0" w:space="0" w:color="auto"/>
            <w:right w:val="none" w:sz="0" w:space="0" w:color="auto"/>
          </w:divBdr>
        </w:div>
        <w:div w:id="143080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2022-02-07T09:40:00Z</dcterms:created>
  <dcterms:modified xsi:type="dcterms:W3CDTF">2022-02-07T09:56:00Z</dcterms:modified>
</cp:coreProperties>
</file>